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4184" w14:textId="77777777" w:rsidR="00A077EB" w:rsidRPr="006E4B1F" w:rsidRDefault="00A077EB" w:rsidP="00A077EB">
      <w:pPr>
        <w:tabs>
          <w:tab w:val="left" w:pos="1440"/>
        </w:tabs>
        <w:spacing w:before="100" w:beforeAutospacing="1"/>
        <w:rPr>
          <w:rFonts w:cs="Arial"/>
          <w:b/>
          <w:sz w:val="28"/>
          <w:szCs w:val="28"/>
        </w:rPr>
      </w:pPr>
      <w:r w:rsidRPr="006E4B1F">
        <w:rPr>
          <w:rFonts w:cs="Arial"/>
          <w:b/>
          <w:sz w:val="28"/>
          <w:szCs w:val="28"/>
        </w:rPr>
        <w:t xml:space="preserve">Form </w:t>
      </w:r>
      <w:r>
        <w:rPr>
          <w:rFonts w:cs="Arial"/>
          <w:b/>
          <w:sz w:val="28"/>
          <w:szCs w:val="28"/>
        </w:rPr>
        <w:t>D</w:t>
      </w:r>
      <w:r w:rsidRPr="006E4B1F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>2</w:t>
      </w:r>
      <w:r w:rsidRPr="006E4B1F">
        <w:rPr>
          <w:rFonts w:cs="Arial"/>
          <w:b/>
          <w:sz w:val="28"/>
          <w:szCs w:val="28"/>
        </w:rPr>
        <w:t xml:space="preserve">   Template for the </w:t>
      </w:r>
      <w:r>
        <w:rPr>
          <w:rFonts w:cs="Arial"/>
          <w:b/>
          <w:sz w:val="28"/>
          <w:szCs w:val="28"/>
        </w:rPr>
        <w:t>Base Stock Manufacturers’</w:t>
      </w:r>
      <w:r w:rsidRPr="006E4B1F">
        <w:rPr>
          <w:rFonts w:cs="Arial"/>
          <w:b/>
          <w:sz w:val="28"/>
          <w:szCs w:val="28"/>
        </w:rPr>
        <w:t xml:space="preserve"> Letter of </w:t>
      </w:r>
      <w:r>
        <w:rPr>
          <w:rFonts w:cs="Arial"/>
          <w:b/>
          <w:sz w:val="28"/>
          <w:szCs w:val="28"/>
        </w:rPr>
        <w:tab/>
      </w:r>
      <w:r w:rsidRPr="006E4B1F">
        <w:rPr>
          <w:rFonts w:cs="Arial"/>
          <w:b/>
          <w:sz w:val="28"/>
          <w:szCs w:val="28"/>
        </w:rPr>
        <w:t>Conformance</w:t>
      </w:r>
    </w:p>
    <w:p w14:paraId="35E6AB91" w14:textId="0AE04856" w:rsidR="00A077EB" w:rsidRDefault="00587A14" w:rsidP="00A077EB">
      <w:pPr>
        <w:jc w:val="center"/>
        <w:rPr>
          <w:rFonts w:cs="Arial"/>
          <w:szCs w:val="22"/>
        </w:rPr>
      </w:pPr>
      <w:r>
        <w:t>(Letter to be sent by e-mail in digital, scanned “PDF”-format to: administrator@sail-europe.eu)</w:t>
      </w:r>
    </w:p>
    <w:p w14:paraId="6D50AA25" w14:textId="77777777" w:rsidR="00A077EB" w:rsidRPr="00672011" w:rsidRDefault="00A077EB" w:rsidP="00A077EB">
      <w:pPr>
        <w:jc w:val="center"/>
        <w:rPr>
          <w:rFonts w:cs="Arial"/>
          <w:szCs w:val="22"/>
        </w:rPr>
      </w:pPr>
    </w:p>
    <w:p w14:paraId="4A9C50CA" w14:textId="77777777" w:rsidR="00A077EB" w:rsidRPr="00F7770A" w:rsidRDefault="00A077EB" w:rsidP="00A077EB">
      <w:pPr>
        <w:pStyle w:val="Heading1"/>
        <w:numPr>
          <w:ilvl w:val="0"/>
          <w:numId w:val="0"/>
        </w:numPr>
        <w:tabs>
          <w:tab w:val="left" w:pos="1080"/>
        </w:tabs>
        <w:spacing w:before="0" w:after="0"/>
        <w:rPr>
          <w:rFonts w:cs="Arial"/>
          <w:b w:val="0"/>
          <w:sz w:val="22"/>
          <w:szCs w:val="22"/>
          <w:lang w:val="fr-FR"/>
        </w:rPr>
      </w:pPr>
      <w:bookmarkStart w:id="0" w:name="OLE_LINK2"/>
      <w:r w:rsidRPr="00672011">
        <w:rPr>
          <w:rFonts w:cs="Arial"/>
          <w:sz w:val="22"/>
          <w:szCs w:val="22"/>
        </w:rPr>
        <w:tab/>
      </w:r>
      <w:r w:rsidRPr="00672011">
        <w:rPr>
          <w:rFonts w:cs="Arial"/>
          <w:sz w:val="22"/>
          <w:szCs w:val="22"/>
        </w:rPr>
        <w:tab/>
      </w:r>
      <w:r w:rsidRPr="00672011">
        <w:rPr>
          <w:rFonts w:cs="Arial"/>
          <w:sz w:val="22"/>
          <w:szCs w:val="22"/>
        </w:rPr>
        <w:tab/>
      </w:r>
      <w:r w:rsidRPr="00672011">
        <w:rPr>
          <w:rFonts w:cs="Arial"/>
          <w:sz w:val="22"/>
          <w:szCs w:val="22"/>
        </w:rPr>
        <w:tab/>
      </w:r>
      <w:r w:rsidRPr="00672011">
        <w:rPr>
          <w:rFonts w:cs="Arial"/>
          <w:sz w:val="22"/>
          <w:szCs w:val="22"/>
        </w:rPr>
        <w:tab/>
      </w:r>
      <w:r w:rsidRPr="00672011">
        <w:rPr>
          <w:rFonts w:cs="Arial"/>
          <w:b w:val="0"/>
          <w:sz w:val="22"/>
          <w:szCs w:val="22"/>
        </w:rPr>
        <w:tab/>
      </w:r>
      <w:r w:rsidRPr="00F7770A">
        <w:rPr>
          <w:rFonts w:cs="Arial"/>
          <w:b w:val="0"/>
          <w:sz w:val="22"/>
          <w:szCs w:val="22"/>
          <w:lang w:val="fr-FR"/>
        </w:rPr>
        <w:t>SAIL</w:t>
      </w:r>
    </w:p>
    <w:p w14:paraId="69D43F41" w14:textId="488FFD4C" w:rsidR="00A077EB" w:rsidRPr="001F5C1B" w:rsidRDefault="00A077EB" w:rsidP="00A077EB">
      <w:pPr>
        <w:pStyle w:val="Heading1"/>
        <w:numPr>
          <w:ilvl w:val="0"/>
          <w:numId w:val="0"/>
        </w:numPr>
        <w:tabs>
          <w:tab w:val="left" w:pos="1080"/>
        </w:tabs>
        <w:spacing w:before="0" w:after="0"/>
        <w:rPr>
          <w:rFonts w:cs="Arial"/>
          <w:b w:val="0"/>
          <w:iCs/>
          <w:sz w:val="22"/>
          <w:szCs w:val="22"/>
          <w:lang w:val="fr-FR"/>
        </w:rPr>
      </w:pPr>
      <w:r w:rsidRPr="00F7770A">
        <w:rPr>
          <w:rFonts w:cs="Arial"/>
          <w:b w:val="0"/>
          <w:i/>
          <w:sz w:val="22"/>
          <w:szCs w:val="22"/>
          <w:lang w:val="fr-FR"/>
        </w:rPr>
        <w:tab/>
      </w:r>
      <w:r w:rsidRPr="00F7770A">
        <w:rPr>
          <w:rFonts w:cs="Arial"/>
          <w:b w:val="0"/>
          <w:i/>
          <w:sz w:val="22"/>
          <w:szCs w:val="22"/>
          <w:lang w:val="fr-FR"/>
        </w:rPr>
        <w:tab/>
      </w:r>
      <w:r w:rsidRPr="00F7770A">
        <w:rPr>
          <w:rFonts w:cs="Arial"/>
          <w:b w:val="0"/>
          <w:i/>
          <w:sz w:val="22"/>
          <w:szCs w:val="22"/>
          <w:lang w:val="fr-FR"/>
        </w:rPr>
        <w:tab/>
      </w:r>
      <w:r w:rsidRPr="00F7770A">
        <w:rPr>
          <w:rFonts w:cs="Arial"/>
          <w:b w:val="0"/>
          <w:i/>
          <w:sz w:val="22"/>
          <w:szCs w:val="22"/>
          <w:lang w:val="fr-FR"/>
        </w:rPr>
        <w:tab/>
      </w:r>
      <w:r w:rsidRPr="00F7770A">
        <w:rPr>
          <w:rFonts w:cs="Arial"/>
          <w:b w:val="0"/>
          <w:i/>
          <w:sz w:val="22"/>
          <w:szCs w:val="22"/>
          <w:lang w:val="fr-FR"/>
        </w:rPr>
        <w:tab/>
      </w:r>
      <w:r w:rsidRPr="00F7770A">
        <w:rPr>
          <w:rFonts w:cs="Arial"/>
          <w:b w:val="0"/>
          <w:i/>
          <w:sz w:val="22"/>
          <w:szCs w:val="22"/>
          <w:lang w:val="fr-FR"/>
        </w:rPr>
        <w:tab/>
      </w:r>
      <w:r w:rsidR="004E38A3">
        <w:rPr>
          <w:rFonts w:cs="Arial"/>
          <w:b w:val="0"/>
          <w:iCs/>
          <w:sz w:val="22"/>
          <w:szCs w:val="22"/>
          <w:lang w:val="fr-FR"/>
        </w:rPr>
        <w:t>Rue Belliard</w:t>
      </w:r>
      <w:r w:rsidR="00587A14">
        <w:rPr>
          <w:rFonts w:cs="Arial"/>
          <w:b w:val="0"/>
          <w:iCs/>
          <w:sz w:val="22"/>
          <w:szCs w:val="22"/>
          <w:lang w:val="fr-FR"/>
        </w:rPr>
        <w:t xml:space="preserve"> 40</w:t>
      </w:r>
    </w:p>
    <w:p w14:paraId="0E8B93B5" w14:textId="1A59FAF6" w:rsidR="00A077EB" w:rsidRPr="004E38A3" w:rsidRDefault="00A077EB" w:rsidP="00A077EB">
      <w:pPr>
        <w:rPr>
          <w:rFonts w:cs="Arial"/>
          <w:szCs w:val="22"/>
          <w:lang w:val="en-US"/>
        </w:rPr>
      </w:pPr>
      <w:r w:rsidRPr="001F5C1B">
        <w:rPr>
          <w:rFonts w:cs="Arial"/>
          <w:szCs w:val="22"/>
          <w:lang w:val="fr-FR"/>
        </w:rPr>
        <w:tab/>
      </w:r>
      <w:r w:rsidRPr="001F5C1B">
        <w:rPr>
          <w:rFonts w:cs="Arial"/>
          <w:szCs w:val="22"/>
          <w:lang w:val="fr-FR"/>
        </w:rPr>
        <w:tab/>
      </w:r>
      <w:r w:rsidRPr="001F5C1B">
        <w:rPr>
          <w:rFonts w:cs="Arial"/>
          <w:szCs w:val="22"/>
          <w:lang w:val="fr-FR"/>
        </w:rPr>
        <w:tab/>
      </w:r>
      <w:r w:rsidRPr="001F5C1B">
        <w:rPr>
          <w:rFonts w:cs="Arial"/>
          <w:szCs w:val="22"/>
          <w:lang w:val="fr-FR"/>
        </w:rPr>
        <w:tab/>
      </w:r>
      <w:r w:rsidRPr="001F5C1B">
        <w:rPr>
          <w:rFonts w:cs="Arial"/>
          <w:szCs w:val="22"/>
          <w:lang w:val="fr-FR"/>
        </w:rPr>
        <w:tab/>
      </w:r>
      <w:r w:rsidRPr="001F5C1B">
        <w:rPr>
          <w:rFonts w:cs="Arial"/>
          <w:szCs w:val="22"/>
          <w:lang w:val="fr-FR"/>
        </w:rPr>
        <w:tab/>
      </w:r>
      <w:r w:rsidRPr="004E38A3">
        <w:rPr>
          <w:rFonts w:cs="Arial"/>
          <w:szCs w:val="22"/>
          <w:lang w:val="en-US"/>
        </w:rPr>
        <w:t>Brussels B</w:t>
      </w:r>
      <w:r w:rsidR="00587A14">
        <w:rPr>
          <w:rFonts w:cs="Arial"/>
          <w:szCs w:val="22"/>
          <w:lang w:val="en-US"/>
        </w:rPr>
        <w:t xml:space="preserve"> </w:t>
      </w:r>
      <w:r w:rsidRPr="004E38A3">
        <w:rPr>
          <w:rFonts w:cs="Arial"/>
          <w:szCs w:val="22"/>
          <w:lang w:val="en-US"/>
        </w:rPr>
        <w:t>1</w:t>
      </w:r>
      <w:r w:rsidR="001F5C1B" w:rsidRPr="004E38A3">
        <w:rPr>
          <w:rFonts w:cs="Arial"/>
          <w:szCs w:val="22"/>
          <w:lang w:val="en-US"/>
        </w:rPr>
        <w:t>040</w:t>
      </w:r>
    </w:p>
    <w:p w14:paraId="1BAE3A3B" w14:textId="77777777" w:rsidR="00A077EB" w:rsidRPr="00672011" w:rsidRDefault="00A077EB" w:rsidP="00A077EB">
      <w:pPr>
        <w:rPr>
          <w:rFonts w:cs="Arial"/>
          <w:szCs w:val="22"/>
        </w:rPr>
      </w:pPr>
      <w:r w:rsidRPr="004E38A3">
        <w:rPr>
          <w:rFonts w:cs="Arial"/>
          <w:szCs w:val="22"/>
          <w:lang w:val="en-US"/>
        </w:rPr>
        <w:tab/>
      </w:r>
      <w:r w:rsidRPr="004E38A3">
        <w:rPr>
          <w:rFonts w:cs="Arial"/>
          <w:szCs w:val="22"/>
          <w:lang w:val="en-US"/>
        </w:rPr>
        <w:tab/>
      </w:r>
      <w:r w:rsidRPr="004E38A3">
        <w:rPr>
          <w:rFonts w:cs="Arial"/>
          <w:szCs w:val="22"/>
          <w:lang w:val="en-US"/>
        </w:rPr>
        <w:tab/>
      </w:r>
      <w:r w:rsidRPr="004E38A3">
        <w:rPr>
          <w:rFonts w:cs="Arial"/>
          <w:szCs w:val="22"/>
          <w:lang w:val="en-US"/>
        </w:rPr>
        <w:tab/>
      </w:r>
      <w:r w:rsidRPr="004E38A3">
        <w:rPr>
          <w:rFonts w:cs="Arial"/>
          <w:szCs w:val="22"/>
          <w:lang w:val="en-US"/>
        </w:rPr>
        <w:tab/>
      </w:r>
      <w:r w:rsidRPr="004E38A3">
        <w:rPr>
          <w:rFonts w:cs="Arial"/>
          <w:szCs w:val="22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672011">
            <w:rPr>
              <w:rFonts w:cs="Arial"/>
              <w:szCs w:val="22"/>
            </w:rPr>
            <w:t>Belgium</w:t>
          </w:r>
        </w:smartTag>
      </w:smartTag>
    </w:p>
    <w:bookmarkEnd w:id="0"/>
    <w:p w14:paraId="05FCBB1C" w14:textId="77777777" w:rsidR="00A077EB" w:rsidRPr="00672011" w:rsidRDefault="00A077EB" w:rsidP="00A077EB">
      <w:pPr>
        <w:pStyle w:val="Heading1"/>
        <w:numPr>
          <w:ilvl w:val="0"/>
          <w:numId w:val="0"/>
        </w:numPr>
        <w:tabs>
          <w:tab w:val="left" w:pos="1080"/>
        </w:tabs>
        <w:rPr>
          <w:rFonts w:cs="Arial"/>
          <w:b w:val="0"/>
          <w:i/>
          <w:sz w:val="22"/>
          <w:szCs w:val="22"/>
        </w:rPr>
      </w:pPr>
      <w:r w:rsidRPr="00672011">
        <w:rPr>
          <w:rFonts w:cs="Arial"/>
          <w:b w:val="0"/>
          <w:i/>
          <w:sz w:val="22"/>
          <w:szCs w:val="22"/>
        </w:rPr>
        <w:t>From: Company name</w:t>
      </w:r>
    </w:p>
    <w:p w14:paraId="4BA2D433" w14:textId="77777777" w:rsidR="00A077EB" w:rsidRPr="00672011" w:rsidRDefault="00A077EB" w:rsidP="00A077EB">
      <w:pPr>
        <w:tabs>
          <w:tab w:val="left" w:pos="1080"/>
        </w:tabs>
        <w:jc w:val="both"/>
        <w:rPr>
          <w:rFonts w:cs="Arial"/>
          <w:i/>
          <w:szCs w:val="22"/>
        </w:rPr>
      </w:pPr>
    </w:p>
    <w:p w14:paraId="40B376C1" w14:textId="77777777" w:rsidR="00A077EB" w:rsidRPr="00672011" w:rsidRDefault="00A077EB" w:rsidP="00A077EB">
      <w:pPr>
        <w:tabs>
          <w:tab w:val="left" w:pos="1080"/>
        </w:tabs>
        <w:jc w:val="both"/>
        <w:rPr>
          <w:rFonts w:cs="Arial"/>
          <w:i/>
          <w:szCs w:val="22"/>
        </w:rPr>
      </w:pPr>
    </w:p>
    <w:p w14:paraId="3FDF95DE" w14:textId="77777777" w:rsidR="00A077EB" w:rsidRPr="00672011" w:rsidRDefault="00A077EB" w:rsidP="00A077EB">
      <w:pPr>
        <w:tabs>
          <w:tab w:val="left" w:pos="1080"/>
        </w:tabs>
        <w:jc w:val="both"/>
        <w:rPr>
          <w:rFonts w:cs="Arial"/>
          <w:szCs w:val="22"/>
        </w:rPr>
      </w:pPr>
      <w:r w:rsidRPr="00672011">
        <w:rPr>
          <w:rFonts w:cs="Arial"/>
          <w:i/>
          <w:szCs w:val="22"/>
        </w:rPr>
        <w:t>[Insert current address]</w:t>
      </w:r>
      <w:r w:rsidRPr="00672011">
        <w:rPr>
          <w:rFonts w:cs="Arial"/>
          <w:i/>
          <w:szCs w:val="22"/>
        </w:rPr>
        <w:tab/>
      </w:r>
      <w:r w:rsidRPr="00672011">
        <w:rPr>
          <w:rFonts w:cs="Arial"/>
          <w:i/>
          <w:szCs w:val="22"/>
        </w:rPr>
        <w:tab/>
      </w:r>
      <w:r w:rsidRPr="00672011">
        <w:rPr>
          <w:rFonts w:cs="Arial"/>
          <w:i/>
          <w:szCs w:val="22"/>
        </w:rPr>
        <w:tab/>
      </w:r>
      <w:r w:rsidRPr="00672011">
        <w:rPr>
          <w:rFonts w:cs="Arial"/>
          <w:i/>
          <w:szCs w:val="22"/>
        </w:rPr>
        <w:tab/>
      </w:r>
    </w:p>
    <w:p w14:paraId="7F85319F" w14:textId="77777777" w:rsidR="00A077EB" w:rsidRPr="00672011" w:rsidRDefault="00A077EB" w:rsidP="00A077EB">
      <w:pPr>
        <w:jc w:val="both"/>
        <w:rPr>
          <w:rFonts w:cs="Arial"/>
          <w:i/>
          <w:szCs w:val="22"/>
        </w:rPr>
      </w:pPr>
      <w:r w:rsidRPr="00672011">
        <w:rPr>
          <w:rFonts w:cs="Arial"/>
          <w:i/>
          <w:szCs w:val="22"/>
        </w:rPr>
        <w:t xml:space="preserve">       </w:t>
      </w:r>
    </w:p>
    <w:p w14:paraId="33CDA802" w14:textId="77777777" w:rsidR="00A077EB" w:rsidRPr="00672011" w:rsidRDefault="00A077EB" w:rsidP="00A077EB">
      <w:pPr>
        <w:jc w:val="both"/>
        <w:rPr>
          <w:rFonts w:cs="Arial"/>
          <w:i/>
          <w:szCs w:val="22"/>
        </w:rPr>
      </w:pPr>
    </w:p>
    <w:p w14:paraId="73B32951" w14:textId="77777777" w:rsidR="00A077EB" w:rsidRPr="00672011" w:rsidRDefault="00A077EB" w:rsidP="00A077EB">
      <w:pPr>
        <w:jc w:val="both"/>
        <w:rPr>
          <w:rFonts w:cs="Arial"/>
          <w:b/>
          <w:szCs w:val="22"/>
        </w:rPr>
      </w:pPr>
      <w:r w:rsidRPr="00672011">
        <w:rPr>
          <w:rFonts w:cs="Arial"/>
          <w:i/>
          <w:szCs w:val="22"/>
        </w:rPr>
        <w:t>[Insert nominated e-mail address for correspondence]</w:t>
      </w:r>
      <w:r>
        <w:rPr>
          <w:rStyle w:val="FootnoteReference"/>
          <w:rFonts w:cs="Arial"/>
          <w:b/>
          <w:szCs w:val="22"/>
        </w:rPr>
        <w:t>D</w:t>
      </w:r>
      <w:r w:rsidRPr="00672011">
        <w:rPr>
          <w:rStyle w:val="FootnoteReference"/>
          <w:rFonts w:cs="Arial"/>
          <w:b/>
          <w:szCs w:val="22"/>
        </w:rPr>
        <w:t>1</w:t>
      </w:r>
    </w:p>
    <w:p w14:paraId="3B450B67" w14:textId="77777777" w:rsidR="00A077EB" w:rsidRPr="00672011" w:rsidRDefault="00A077EB" w:rsidP="00A077EB">
      <w:pPr>
        <w:tabs>
          <w:tab w:val="left" w:pos="1080"/>
        </w:tabs>
        <w:ind w:left="1440" w:hanging="1440"/>
        <w:rPr>
          <w:rFonts w:cs="Arial"/>
          <w:b/>
          <w:szCs w:val="22"/>
        </w:rPr>
      </w:pPr>
    </w:p>
    <w:p w14:paraId="62D33560" w14:textId="77777777" w:rsidR="00A077EB" w:rsidRPr="00035CCD" w:rsidRDefault="00A077EB" w:rsidP="00A077EB">
      <w:pPr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Date: </w:t>
      </w:r>
      <w:r>
        <w:rPr>
          <w:rFonts w:cs="Arial"/>
          <w:i/>
          <w:szCs w:val="22"/>
        </w:rPr>
        <w:t>[Insert date]</w:t>
      </w:r>
    </w:p>
    <w:p w14:paraId="5BB37E3D" w14:textId="77777777" w:rsidR="00A077EB" w:rsidRPr="00672011" w:rsidRDefault="00A077EB" w:rsidP="00A077EB">
      <w:pPr>
        <w:jc w:val="both"/>
        <w:rPr>
          <w:rFonts w:cs="Arial"/>
          <w:i/>
          <w:szCs w:val="22"/>
        </w:rPr>
      </w:pPr>
    </w:p>
    <w:p w14:paraId="0FFEC640" w14:textId="77777777" w:rsidR="00A077EB" w:rsidRPr="00672011" w:rsidRDefault="00A077EB" w:rsidP="00A077EB">
      <w:pPr>
        <w:tabs>
          <w:tab w:val="left" w:pos="1080"/>
        </w:tabs>
        <w:ind w:left="1440" w:hanging="1440"/>
        <w:rPr>
          <w:rFonts w:cs="Arial"/>
          <w:b/>
          <w:szCs w:val="22"/>
        </w:rPr>
      </w:pPr>
    </w:p>
    <w:p w14:paraId="3C0841CB" w14:textId="77777777" w:rsidR="00A077EB" w:rsidRPr="00672011" w:rsidRDefault="00A077EB" w:rsidP="00A077EB">
      <w:pPr>
        <w:ind w:left="1440" w:hanging="1440"/>
        <w:jc w:val="both"/>
        <w:rPr>
          <w:rFonts w:cs="Arial"/>
          <w:b/>
          <w:szCs w:val="22"/>
        </w:rPr>
      </w:pPr>
      <w:r w:rsidRPr="00672011">
        <w:rPr>
          <w:rFonts w:cs="Arial"/>
          <w:b/>
          <w:szCs w:val="22"/>
        </w:rPr>
        <w:t>Subject:</w:t>
      </w:r>
      <w:r w:rsidRPr="00672011">
        <w:rPr>
          <w:rFonts w:cs="Arial"/>
          <w:szCs w:val="22"/>
        </w:rPr>
        <w:t xml:space="preserve"> </w:t>
      </w:r>
      <w:r w:rsidRPr="00672011">
        <w:rPr>
          <w:rFonts w:cs="Arial"/>
          <w:b/>
          <w:szCs w:val="22"/>
        </w:rPr>
        <w:t>ATIEL Base Stock Quality Assurance Guidelines:</w:t>
      </w:r>
    </w:p>
    <w:p w14:paraId="23D0D999" w14:textId="77777777" w:rsidR="00A077EB" w:rsidRPr="00672011" w:rsidRDefault="00A077EB" w:rsidP="00A077EB">
      <w:pPr>
        <w:tabs>
          <w:tab w:val="left" w:pos="1080"/>
        </w:tabs>
        <w:ind w:left="1440" w:hanging="1440"/>
        <w:jc w:val="both"/>
        <w:rPr>
          <w:rFonts w:cs="Arial"/>
          <w:b/>
          <w:szCs w:val="22"/>
        </w:rPr>
      </w:pPr>
      <w:r w:rsidRPr="00672011">
        <w:rPr>
          <w:rFonts w:cs="Arial"/>
          <w:b/>
          <w:szCs w:val="22"/>
        </w:rPr>
        <w:tab/>
        <w:t>Letter of Conformance</w:t>
      </w:r>
    </w:p>
    <w:p w14:paraId="1E3875AF" w14:textId="77777777" w:rsidR="00A077EB" w:rsidRPr="00672011" w:rsidRDefault="00A077EB" w:rsidP="00A077EB">
      <w:pPr>
        <w:jc w:val="both"/>
        <w:rPr>
          <w:rFonts w:cs="Arial"/>
          <w:szCs w:val="22"/>
        </w:rPr>
      </w:pPr>
    </w:p>
    <w:p w14:paraId="77078FC4" w14:textId="77777777" w:rsidR="00A077EB" w:rsidRPr="00672011" w:rsidRDefault="00A077EB" w:rsidP="00A077EB">
      <w:pPr>
        <w:jc w:val="both"/>
        <w:rPr>
          <w:rFonts w:cs="Arial"/>
          <w:szCs w:val="22"/>
        </w:rPr>
      </w:pPr>
      <w:r w:rsidRPr="00672011">
        <w:rPr>
          <w:rFonts w:cs="Arial"/>
          <w:i/>
          <w:szCs w:val="22"/>
        </w:rPr>
        <w:t xml:space="preserve">[Name of participating company] </w:t>
      </w:r>
      <w:r>
        <w:rPr>
          <w:rFonts w:cs="Arial"/>
        </w:rPr>
        <w:t xml:space="preserve">hereinafter referred to as “The Company”, </w:t>
      </w:r>
      <w:r w:rsidRPr="00672011">
        <w:rPr>
          <w:rFonts w:cs="Arial"/>
          <w:szCs w:val="22"/>
        </w:rPr>
        <w:t xml:space="preserve">hereby declares its undertaking to implement the ATIEL </w:t>
      </w:r>
      <w:r>
        <w:rPr>
          <w:rFonts w:cs="Arial"/>
          <w:szCs w:val="22"/>
        </w:rPr>
        <w:t xml:space="preserve">Guidelines for </w:t>
      </w:r>
      <w:r w:rsidRPr="00672011">
        <w:rPr>
          <w:rFonts w:cs="Arial"/>
          <w:szCs w:val="22"/>
        </w:rPr>
        <w:t xml:space="preserve">Base Stock </w:t>
      </w:r>
      <w:r>
        <w:rPr>
          <w:rFonts w:cs="Arial"/>
          <w:szCs w:val="22"/>
        </w:rPr>
        <w:t xml:space="preserve">Manufacturers’ </w:t>
      </w:r>
      <w:r w:rsidRPr="00672011">
        <w:rPr>
          <w:rFonts w:cs="Arial"/>
          <w:szCs w:val="22"/>
        </w:rPr>
        <w:t>Quality Assurance as described in Appendix B of the ATIEL Code of Practice.</w:t>
      </w:r>
    </w:p>
    <w:p w14:paraId="78234032" w14:textId="77777777" w:rsidR="00A077EB" w:rsidRPr="00672011" w:rsidRDefault="00A077EB" w:rsidP="00A077EB">
      <w:pPr>
        <w:jc w:val="both"/>
        <w:rPr>
          <w:rFonts w:cs="Arial"/>
          <w:szCs w:val="22"/>
        </w:rPr>
      </w:pPr>
    </w:p>
    <w:p w14:paraId="7B62B0E0" w14:textId="77777777" w:rsidR="00A077EB" w:rsidRPr="00672011" w:rsidRDefault="00A077EB" w:rsidP="00A077EB">
      <w:pPr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For the purposes of this Letter of Conformance, </w:t>
      </w:r>
      <w:r>
        <w:rPr>
          <w:rFonts w:cs="Arial"/>
          <w:szCs w:val="22"/>
        </w:rPr>
        <w:t>The Company</w:t>
      </w:r>
      <w:r w:rsidRPr="00672011">
        <w:rPr>
          <w:rFonts w:cs="Arial"/>
          <w:szCs w:val="22"/>
        </w:rPr>
        <w:t xml:space="preserve"> represents all associated companies operating under its brand and is duly represented by the undersigned.</w:t>
      </w:r>
    </w:p>
    <w:p w14:paraId="1428852D" w14:textId="77777777" w:rsidR="00A077EB" w:rsidRPr="00672011" w:rsidRDefault="00A077EB" w:rsidP="00A077EB">
      <w:pPr>
        <w:jc w:val="both"/>
        <w:rPr>
          <w:rFonts w:cs="Arial"/>
          <w:i/>
          <w:szCs w:val="22"/>
        </w:rPr>
      </w:pPr>
    </w:p>
    <w:p w14:paraId="7189D64D" w14:textId="77777777" w:rsidR="00A077EB" w:rsidRPr="00672011" w:rsidRDefault="00A077EB" w:rsidP="00A077E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Company</w:t>
      </w:r>
      <w:r w:rsidRPr="00672011">
        <w:rPr>
          <w:rFonts w:cs="Arial"/>
          <w:i/>
          <w:szCs w:val="22"/>
        </w:rPr>
        <w:t xml:space="preserve"> </w:t>
      </w:r>
      <w:proofErr w:type="gramStart"/>
      <w:r w:rsidRPr="00672011">
        <w:rPr>
          <w:rFonts w:cs="Arial"/>
          <w:szCs w:val="22"/>
        </w:rPr>
        <w:t>in particular undertakes</w:t>
      </w:r>
      <w:proofErr w:type="gramEnd"/>
      <w:r w:rsidRPr="00672011">
        <w:rPr>
          <w:rFonts w:cs="Arial"/>
          <w:szCs w:val="22"/>
        </w:rPr>
        <w:t xml:space="preserve"> to:</w:t>
      </w:r>
    </w:p>
    <w:p w14:paraId="4FEF48B3" w14:textId="77777777" w:rsidR="00A077EB" w:rsidRPr="00672011" w:rsidRDefault="00A077EB" w:rsidP="00A077EB">
      <w:pPr>
        <w:jc w:val="both"/>
        <w:rPr>
          <w:rFonts w:cs="Arial"/>
          <w:szCs w:val="22"/>
        </w:rPr>
      </w:pPr>
    </w:p>
    <w:p w14:paraId="29C4D744" w14:textId="77777777" w:rsidR="00A077EB" w:rsidRPr="00672011" w:rsidRDefault="00A077EB" w:rsidP="00A077EB">
      <w:pPr>
        <w:numPr>
          <w:ilvl w:val="0"/>
          <w:numId w:val="2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inform its auditors of its agreement to implement the ATIEL Guidelines for base stock quality assurance and </w:t>
      </w:r>
      <w:proofErr w:type="gramStart"/>
      <w:r w:rsidRPr="00672011">
        <w:rPr>
          <w:rFonts w:cs="Arial"/>
          <w:szCs w:val="22"/>
        </w:rPr>
        <w:t>interchange;</w:t>
      </w:r>
      <w:proofErr w:type="gramEnd"/>
    </w:p>
    <w:p w14:paraId="7F83162E" w14:textId="77777777" w:rsidR="00A077EB" w:rsidRPr="00672011" w:rsidRDefault="00A077EB" w:rsidP="00A077EB">
      <w:pPr>
        <w:numPr>
          <w:ilvl w:val="0"/>
          <w:numId w:val="3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ensure that its ISO 9001 or equivalent procedures include conformance with the ATIEL Code of Practice and to identify these procedures to ISO 9001 (or equivalent) </w:t>
      </w:r>
      <w:proofErr w:type="gramStart"/>
      <w:r w:rsidRPr="00672011">
        <w:rPr>
          <w:rFonts w:cs="Arial"/>
          <w:szCs w:val="22"/>
        </w:rPr>
        <w:t>auditors;</w:t>
      </w:r>
      <w:proofErr w:type="gramEnd"/>
    </w:p>
    <w:p w14:paraId="62F6D1AE" w14:textId="77777777" w:rsidR="00A077EB" w:rsidRPr="00672011" w:rsidRDefault="00A077EB" w:rsidP="00A077EB">
      <w:pPr>
        <w:numPr>
          <w:ilvl w:val="0"/>
          <w:numId w:val="4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provide such auditors with the relevant copy(</w:t>
      </w:r>
      <w:proofErr w:type="spellStart"/>
      <w:r w:rsidRPr="00672011">
        <w:rPr>
          <w:rFonts w:cs="Arial"/>
          <w:szCs w:val="22"/>
        </w:rPr>
        <w:t>ies</w:t>
      </w:r>
      <w:proofErr w:type="spellEnd"/>
      <w:r w:rsidRPr="00672011">
        <w:rPr>
          <w:rFonts w:cs="Arial"/>
          <w:szCs w:val="22"/>
        </w:rPr>
        <w:t xml:space="preserve">) of Appendix B of the ATIEL Code of </w:t>
      </w:r>
      <w:proofErr w:type="gramStart"/>
      <w:r w:rsidRPr="00672011">
        <w:rPr>
          <w:rFonts w:cs="Arial"/>
          <w:szCs w:val="22"/>
        </w:rPr>
        <w:t>Practice;</w:t>
      </w:r>
      <w:proofErr w:type="gramEnd"/>
    </w:p>
    <w:p w14:paraId="31D6DA80" w14:textId="77777777" w:rsidR="00A077EB" w:rsidRPr="00672011" w:rsidRDefault="00A077EB" w:rsidP="00A077EB">
      <w:pPr>
        <w:numPr>
          <w:ilvl w:val="0"/>
          <w:numId w:val="4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apply the ATIEL </w:t>
      </w:r>
      <w:r>
        <w:rPr>
          <w:rFonts w:cs="Arial"/>
          <w:szCs w:val="22"/>
        </w:rPr>
        <w:t xml:space="preserve">Guidelines for </w:t>
      </w:r>
      <w:r w:rsidRPr="00672011">
        <w:rPr>
          <w:rFonts w:cs="Arial"/>
          <w:szCs w:val="22"/>
        </w:rPr>
        <w:t>Base Stock</w:t>
      </w:r>
      <w:r>
        <w:rPr>
          <w:rFonts w:cs="Arial"/>
          <w:szCs w:val="22"/>
        </w:rPr>
        <w:t xml:space="preserve"> Manufacturers’</w:t>
      </w:r>
      <w:r w:rsidRPr="00672011">
        <w:rPr>
          <w:rFonts w:cs="Arial"/>
          <w:szCs w:val="22"/>
        </w:rPr>
        <w:t xml:space="preserve"> Quality Assurance to the production of base stocks by</w:t>
      </w:r>
      <w:r>
        <w:rPr>
          <w:rFonts w:cs="Arial"/>
          <w:szCs w:val="22"/>
        </w:rPr>
        <w:t xml:space="preserve"> T</w:t>
      </w:r>
      <w:r w:rsidRPr="00672011">
        <w:rPr>
          <w:rFonts w:cs="Arial"/>
          <w:szCs w:val="22"/>
        </w:rPr>
        <w:t xml:space="preserve">he </w:t>
      </w:r>
      <w:r>
        <w:rPr>
          <w:rFonts w:cs="Arial"/>
          <w:szCs w:val="22"/>
        </w:rPr>
        <w:t>C</w:t>
      </w:r>
      <w:r w:rsidRPr="00672011">
        <w:rPr>
          <w:rFonts w:cs="Arial"/>
          <w:szCs w:val="22"/>
        </w:rPr>
        <w:t xml:space="preserve">ompany where such base stocks are intended for use in lubricants for which compliance with ACEA Sequences is to be </w:t>
      </w:r>
      <w:proofErr w:type="gramStart"/>
      <w:r w:rsidRPr="00672011">
        <w:rPr>
          <w:rFonts w:cs="Arial"/>
          <w:szCs w:val="22"/>
        </w:rPr>
        <w:t>claimed;</w:t>
      </w:r>
      <w:proofErr w:type="gramEnd"/>
    </w:p>
    <w:p w14:paraId="1A89359F" w14:textId="77777777" w:rsidR="00A077EB" w:rsidRPr="00672011" w:rsidRDefault="00A077EB" w:rsidP="00A077EB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ensure that, where base stocks produced by a third party are re-branded for sale under the</w:t>
      </w:r>
      <w:r>
        <w:rPr>
          <w:rFonts w:cs="Arial"/>
          <w:szCs w:val="22"/>
        </w:rPr>
        <w:t xml:space="preserve"> </w:t>
      </w:r>
      <w:r w:rsidRPr="00672011">
        <w:rPr>
          <w:rFonts w:cs="Arial"/>
          <w:szCs w:val="22"/>
        </w:rPr>
        <w:t xml:space="preserve">brand </w:t>
      </w:r>
      <w:r>
        <w:rPr>
          <w:rFonts w:cs="Arial"/>
          <w:szCs w:val="22"/>
        </w:rPr>
        <w:t xml:space="preserve">of The Company </w:t>
      </w:r>
      <w:r w:rsidRPr="00672011">
        <w:rPr>
          <w:rFonts w:cs="Arial"/>
          <w:szCs w:val="22"/>
        </w:rPr>
        <w:t>and where such base stock are intended for use in lubricants for which compliance with ACEA Sequences will be claimed, the third party concerned has: (a) applied the ATIEL Base Stock Quality Assurance Guidelines to the production of the base stocks supplied and (b) has itself submitted a letter of conformance to ATIEL.</w:t>
      </w:r>
    </w:p>
    <w:p w14:paraId="1CDAD56D" w14:textId="77777777" w:rsidR="00A077EB" w:rsidRPr="00672011" w:rsidRDefault="00A077EB" w:rsidP="00A077EB">
      <w:pPr>
        <w:jc w:val="both"/>
        <w:rPr>
          <w:rFonts w:cs="Arial"/>
          <w:szCs w:val="22"/>
        </w:rPr>
      </w:pPr>
    </w:p>
    <w:p w14:paraId="5D2783D7" w14:textId="77777777" w:rsidR="00F7770A" w:rsidRDefault="00F7770A" w:rsidP="00A077EB">
      <w:pPr>
        <w:spacing w:after="120"/>
        <w:jc w:val="both"/>
        <w:rPr>
          <w:rFonts w:cs="Arial"/>
          <w:szCs w:val="22"/>
        </w:rPr>
      </w:pPr>
    </w:p>
    <w:p w14:paraId="3C84A787" w14:textId="77777777" w:rsidR="00F7770A" w:rsidRDefault="00F7770A" w:rsidP="00A077EB">
      <w:pPr>
        <w:spacing w:after="120"/>
        <w:jc w:val="both"/>
        <w:rPr>
          <w:rFonts w:cs="Arial"/>
          <w:szCs w:val="22"/>
        </w:rPr>
      </w:pPr>
    </w:p>
    <w:p w14:paraId="6C1B8D15" w14:textId="77777777" w:rsidR="00F7770A" w:rsidRDefault="00F7770A" w:rsidP="00A077EB">
      <w:pPr>
        <w:spacing w:after="120"/>
        <w:jc w:val="both"/>
        <w:rPr>
          <w:rFonts w:cs="Arial"/>
          <w:szCs w:val="22"/>
        </w:rPr>
      </w:pPr>
    </w:p>
    <w:p w14:paraId="123A8713" w14:textId="481BC32E" w:rsidR="00A077EB" w:rsidRPr="00672011" w:rsidRDefault="00A077EB" w:rsidP="00A077EB">
      <w:pPr>
        <w:spacing w:after="120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lastRenderedPageBreak/>
        <w:t xml:space="preserve">It is understood by </w:t>
      </w:r>
      <w:r>
        <w:rPr>
          <w:rFonts w:cs="Arial"/>
          <w:szCs w:val="22"/>
        </w:rPr>
        <w:t>The Company</w:t>
      </w:r>
      <w:r w:rsidRPr="00672011">
        <w:rPr>
          <w:rFonts w:cs="Arial"/>
          <w:i/>
          <w:szCs w:val="22"/>
        </w:rPr>
        <w:t xml:space="preserve"> </w:t>
      </w:r>
      <w:r w:rsidRPr="00672011">
        <w:rPr>
          <w:rFonts w:cs="Arial"/>
          <w:szCs w:val="22"/>
        </w:rPr>
        <w:t>that the commitments referred to above:</w:t>
      </w:r>
    </w:p>
    <w:p w14:paraId="6A5C9A86" w14:textId="77777777" w:rsidR="00A077EB" w:rsidRPr="001F5C1B" w:rsidRDefault="00A077EB" w:rsidP="00A077EB">
      <w:pPr>
        <w:numPr>
          <w:ilvl w:val="0"/>
          <w:numId w:val="5"/>
        </w:numPr>
        <w:spacing w:after="60"/>
        <w:ind w:left="357" w:hanging="357"/>
        <w:jc w:val="both"/>
        <w:rPr>
          <w:rFonts w:cs="Arial"/>
          <w:szCs w:val="22"/>
        </w:rPr>
      </w:pPr>
      <w:r w:rsidRPr="001F5C1B">
        <w:rPr>
          <w:rFonts w:cs="Arial"/>
          <w:szCs w:val="22"/>
        </w:rPr>
        <w:t>will remain valid for the calendar year in which the LoC was registered.</w:t>
      </w:r>
    </w:p>
    <w:p w14:paraId="7DA0F07A" w14:textId="77777777" w:rsidR="00A077EB" w:rsidRPr="001F5C1B" w:rsidRDefault="00A077EB" w:rsidP="00A077EB">
      <w:pPr>
        <w:numPr>
          <w:ilvl w:val="0"/>
          <w:numId w:val="5"/>
        </w:numPr>
        <w:spacing w:after="60"/>
        <w:jc w:val="both"/>
        <w:rPr>
          <w:rFonts w:cs="Arial"/>
          <w:szCs w:val="22"/>
        </w:rPr>
      </w:pPr>
      <w:r w:rsidRPr="001F5C1B">
        <w:rPr>
          <w:rFonts w:cs="Arial"/>
          <w:szCs w:val="22"/>
        </w:rPr>
        <w:t>may be extended for further annual periods by re-validating the Letter of Conformance based on the template letter current at that time.</w:t>
      </w:r>
    </w:p>
    <w:p w14:paraId="22366472" w14:textId="77777777" w:rsidR="00A077EB" w:rsidRPr="001F5C1B" w:rsidRDefault="00A077EB" w:rsidP="00A077EB">
      <w:pPr>
        <w:numPr>
          <w:ilvl w:val="0"/>
          <w:numId w:val="5"/>
        </w:numPr>
        <w:jc w:val="both"/>
        <w:rPr>
          <w:rFonts w:cs="Arial"/>
          <w:szCs w:val="22"/>
        </w:rPr>
      </w:pPr>
      <w:r w:rsidRPr="001F5C1B">
        <w:rPr>
          <w:rFonts w:cs="Arial"/>
          <w:szCs w:val="22"/>
        </w:rPr>
        <w:t xml:space="preserve">may be cancelled at any time by notifying SAIL by registered mail of the withdrawal of any or </w:t>
      </w:r>
      <w:proofErr w:type="gramStart"/>
      <w:r w:rsidRPr="001F5C1B">
        <w:rPr>
          <w:rFonts w:cs="Arial"/>
          <w:szCs w:val="22"/>
        </w:rPr>
        <w:t>all of</w:t>
      </w:r>
      <w:proofErr w:type="gramEnd"/>
      <w:r w:rsidRPr="001F5C1B">
        <w:rPr>
          <w:rFonts w:cs="Arial"/>
          <w:szCs w:val="22"/>
        </w:rPr>
        <w:t xml:space="preserve"> the undertakings made in this Letter of Conformance.</w:t>
      </w:r>
    </w:p>
    <w:p w14:paraId="1BB82117" w14:textId="77777777" w:rsidR="00A077EB" w:rsidRPr="001F5C1B" w:rsidRDefault="00A077EB" w:rsidP="00A077EB">
      <w:pPr>
        <w:jc w:val="both"/>
        <w:rPr>
          <w:rFonts w:cs="Arial"/>
          <w:szCs w:val="22"/>
        </w:rPr>
      </w:pPr>
    </w:p>
    <w:p w14:paraId="01DA2143" w14:textId="77777777" w:rsidR="00A077EB" w:rsidRPr="001F5C1B" w:rsidRDefault="00A077EB" w:rsidP="00A077EB">
      <w:pPr>
        <w:jc w:val="both"/>
        <w:rPr>
          <w:rFonts w:cs="Arial"/>
          <w:szCs w:val="22"/>
        </w:rPr>
      </w:pPr>
      <w:r w:rsidRPr="001F5C1B">
        <w:rPr>
          <w:rFonts w:cs="Arial"/>
          <w:szCs w:val="22"/>
        </w:rPr>
        <w:t>The Company</w:t>
      </w:r>
      <w:r w:rsidRPr="001F5C1B">
        <w:rPr>
          <w:rFonts w:cs="Arial"/>
          <w:i/>
          <w:szCs w:val="22"/>
        </w:rPr>
        <w:t xml:space="preserve"> </w:t>
      </w:r>
      <w:r w:rsidRPr="001F5C1B">
        <w:rPr>
          <w:rFonts w:cs="Arial"/>
          <w:szCs w:val="22"/>
        </w:rPr>
        <w:t>hereby agrees that ATIEL may include its name in a list of companies that have agreed wholly or in part to implement Appendix B of the ATIEL Code of Practice. This list may be made available to ATIEL members or to any interested party and published on the SAIL website (www.sail-europe.eu).</w:t>
      </w:r>
    </w:p>
    <w:p w14:paraId="283AB9C5" w14:textId="77777777" w:rsidR="00A077EB" w:rsidRPr="00672011" w:rsidRDefault="00A077EB" w:rsidP="00A077EB">
      <w:pPr>
        <w:jc w:val="both"/>
        <w:rPr>
          <w:rFonts w:cs="Arial"/>
          <w:szCs w:val="22"/>
        </w:rPr>
      </w:pPr>
    </w:p>
    <w:p w14:paraId="6FF57768" w14:textId="23FA7504" w:rsidR="00A077EB" w:rsidRPr="00672011" w:rsidRDefault="00A077EB" w:rsidP="00A077E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Company</w:t>
      </w:r>
      <w:r w:rsidRPr="00672011">
        <w:rPr>
          <w:rFonts w:cs="Arial"/>
          <w:szCs w:val="22"/>
        </w:rPr>
        <w:t xml:space="preserve"> further agrees that it </w:t>
      </w:r>
      <w:r w:rsidR="00587A14">
        <w:rPr>
          <w:rFonts w:cs="Arial"/>
          <w:szCs w:val="22"/>
        </w:rPr>
        <w:t>is</w:t>
      </w:r>
      <w:r w:rsidRPr="00672011">
        <w:rPr>
          <w:rFonts w:cs="Arial"/>
          <w:szCs w:val="22"/>
        </w:rPr>
        <w:t xml:space="preserve"> solely responsible for compliance with the undertakings it makes in this letter. It </w:t>
      </w:r>
      <w:proofErr w:type="spellStart"/>
      <w:r w:rsidR="00587A14">
        <w:rPr>
          <w:rFonts w:cs="Arial"/>
          <w:szCs w:val="22"/>
        </w:rPr>
        <w:t>must</w:t>
      </w:r>
      <w:r w:rsidRPr="00672011">
        <w:rPr>
          <w:rFonts w:cs="Arial"/>
          <w:szCs w:val="22"/>
        </w:rPr>
        <w:t>l</w:t>
      </w:r>
      <w:proofErr w:type="spellEnd"/>
      <w:r w:rsidRPr="00672011">
        <w:rPr>
          <w:rFonts w:cs="Arial"/>
          <w:szCs w:val="22"/>
        </w:rPr>
        <w:t xml:space="preserve"> not assert, in any way, that base stocks have been produced in compliance with Appendix B of the ATIEL Code of Practice unless all relevant procedures and test have been carried out.</w:t>
      </w:r>
    </w:p>
    <w:p w14:paraId="36F2D482" w14:textId="77777777" w:rsidR="00A077EB" w:rsidRDefault="00A077EB" w:rsidP="00A077EB">
      <w:pPr>
        <w:jc w:val="both"/>
        <w:rPr>
          <w:rFonts w:cs="Arial"/>
          <w:szCs w:val="22"/>
        </w:rPr>
      </w:pPr>
    </w:p>
    <w:p w14:paraId="1CCF3F4B" w14:textId="77777777" w:rsidR="00A077EB" w:rsidRDefault="00A077EB" w:rsidP="00A077EB">
      <w:pPr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[Insert signature]</w:t>
      </w:r>
    </w:p>
    <w:p w14:paraId="55BBDF56" w14:textId="4B4712B6" w:rsidR="00A077EB" w:rsidRDefault="00A077EB" w:rsidP="00A077EB">
      <w:pPr>
        <w:jc w:val="both"/>
        <w:rPr>
          <w:rFonts w:cs="Arial"/>
          <w:szCs w:val="22"/>
        </w:rPr>
      </w:pPr>
    </w:p>
    <w:p w14:paraId="00A5A76A" w14:textId="6E143D89" w:rsidR="00F7770A" w:rsidRDefault="00F7770A" w:rsidP="00A077EB">
      <w:pPr>
        <w:jc w:val="both"/>
        <w:rPr>
          <w:rFonts w:cs="Arial"/>
          <w:szCs w:val="22"/>
        </w:rPr>
      </w:pPr>
    </w:p>
    <w:p w14:paraId="19899B2C" w14:textId="4F12A34D" w:rsidR="00F7770A" w:rsidRDefault="00F7770A" w:rsidP="00A077EB">
      <w:pPr>
        <w:jc w:val="both"/>
        <w:rPr>
          <w:rFonts w:cs="Arial"/>
          <w:szCs w:val="22"/>
        </w:rPr>
      </w:pPr>
    </w:p>
    <w:p w14:paraId="190FA348" w14:textId="07F7C0A0" w:rsidR="00F7770A" w:rsidRDefault="00F7770A" w:rsidP="00A077EB">
      <w:pPr>
        <w:jc w:val="both"/>
        <w:rPr>
          <w:rFonts w:cs="Arial"/>
          <w:szCs w:val="22"/>
        </w:rPr>
      </w:pPr>
    </w:p>
    <w:p w14:paraId="46A567D5" w14:textId="528D2893" w:rsidR="00F7770A" w:rsidRDefault="00F7770A" w:rsidP="00A077EB">
      <w:pPr>
        <w:jc w:val="both"/>
        <w:rPr>
          <w:rFonts w:cs="Arial"/>
          <w:szCs w:val="22"/>
        </w:rPr>
      </w:pPr>
    </w:p>
    <w:p w14:paraId="0C5A7336" w14:textId="05029000" w:rsidR="00F7770A" w:rsidRDefault="00F7770A" w:rsidP="00A077EB">
      <w:pPr>
        <w:jc w:val="both"/>
        <w:rPr>
          <w:rFonts w:cs="Arial"/>
          <w:szCs w:val="22"/>
        </w:rPr>
      </w:pPr>
    </w:p>
    <w:p w14:paraId="4E5AF803" w14:textId="77777777" w:rsidR="00F7770A" w:rsidRDefault="00F7770A" w:rsidP="00A077EB">
      <w:pPr>
        <w:jc w:val="both"/>
        <w:rPr>
          <w:rFonts w:cs="Arial"/>
          <w:szCs w:val="22"/>
        </w:rPr>
      </w:pPr>
    </w:p>
    <w:p w14:paraId="2373BDD6" w14:textId="77777777" w:rsidR="00A077EB" w:rsidRDefault="00A077EB" w:rsidP="00A077EB">
      <w:pPr>
        <w:jc w:val="both"/>
        <w:rPr>
          <w:rFonts w:cs="Arial"/>
          <w:szCs w:val="22"/>
        </w:rPr>
      </w:pPr>
    </w:p>
    <w:p w14:paraId="2A467B2F" w14:textId="77777777" w:rsidR="00A077EB" w:rsidRPr="00672011" w:rsidRDefault="00A077EB" w:rsidP="00A077EB">
      <w:pPr>
        <w:jc w:val="both"/>
        <w:rPr>
          <w:rFonts w:cs="Arial"/>
          <w:szCs w:val="22"/>
        </w:rPr>
      </w:pPr>
    </w:p>
    <w:p w14:paraId="6CF075A4" w14:textId="77777777" w:rsidR="00A077EB" w:rsidRPr="00672011" w:rsidRDefault="00A077EB" w:rsidP="00A077EB">
      <w:pPr>
        <w:spacing w:after="60"/>
        <w:jc w:val="both"/>
        <w:rPr>
          <w:rFonts w:cs="Arial"/>
          <w:szCs w:val="22"/>
          <w:u w:val="single"/>
        </w:rPr>
      </w:pPr>
      <w:r w:rsidRPr="00672011">
        <w:rPr>
          <w:rFonts w:cs="Arial"/>
          <w:szCs w:val="22"/>
          <w:u w:val="single"/>
        </w:rPr>
        <w:t>Important note:</w:t>
      </w:r>
    </w:p>
    <w:p w14:paraId="5FDDFDED" w14:textId="77777777" w:rsidR="00A077EB" w:rsidRPr="00672011" w:rsidRDefault="00A077EB" w:rsidP="00A077EB">
      <w:pPr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Base stock manufacturers signing this Letter of Conformance shall ensure that all elements of the guidelines are fully implemented from the date of signing the letter.</w:t>
      </w:r>
    </w:p>
    <w:p w14:paraId="626355EC" w14:textId="77777777" w:rsidR="00A077EB" w:rsidRDefault="00A077EB" w:rsidP="00A077EB">
      <w:pPr>
        <w:jc w:val="both"/>
        <w:rPr>
          <w:rFonts w:cs="Arial"/>
          <w:szCs w:val="22"/>
        </w:rPr>
      </w:pPr>
    </w:p>
    <w:p w14:paraId="17E41CFF" w14:textId="77777777" w:rsidR="00A077EB" w:rsidRDefault="00A077EB" w:rsidP="00A077EB">
      <w:pPr>
        <w:jc w:val="both"/>
        <w:rPr>
          <w:rFonts w:cs="Arial"/>
          <w:szCs w:val="22"/>
        </w:rPr>
      </w:pPr>
    </w:p>
    <w:p w14:paraId="25392972" w14:textId="77777777" w:rsidR="00A077EB" w:rsidRDefault="00A077EB" w:rsidP="00A077EB">
      <w:pPr>
        <w:jc w:val="both"/>
        <w:rPr>
          <w:rFonts w:cs="Arial"/>
          <w:szCs w:val="22"/>
        </w:rPr>
      </w:pPr>
    </w:p>
    <w:p w14:paraId="5EBE36F2" w14:textId="77777777" w:rsidR="00A077EB" w:rsidRDefault="00A077EB" w:rsidP="00A077EB">
      <w:pPr>
        <w:jc w:val="both"/>
        <w:rPr>
          <w:rFonts w:cs="Arial"/>
          <w:szCs w:val="22"/>
        </w:rPr>
      </w:pPr>
    </w:p>
    <w:p w14:paraId="424EBC81" w14:textId="77777777" w:rsidR="00A077EB" w:rsidRDefault="00A077EB" w:rsidP="00A077EB">
      <w:pPr>
        <w:jc w:val="both"/>
        <w:rPr>
          <w:rFonts w:cs="Arial"/>
          <w:szCs w:val="22"/>
        </w:rPr>
      </w:pPr>
    </w:p>
    <w:p w14:paraId="61A26B7D" w14:textId="77777777" w:rsidR="00A077EB" w:rsidRDefault="00A077EB" w:rsidP="00A077EB">
      <w:pPr>
        <w:jc w:val="both"/>
        <w:rPr>
          <w:rFonts w:cs="Arial"/>
          <w:szCs w:val="22"/>
        </w:rPr>
      </w:pPr>
    </w:p>
    <w:p w14:paraId="2F029751" w14:textId="77777777" w:rsidR="00A077EB" w:rsidRDefault="00A077EB" w:rsidP="00A077EB">
      <w:pPr>
        <w:jc w:val="both"/>
        <w:rPr>
          <w:rFonts w:cs="Arial"/>
          <w:szCs w:val="22"/>
        </w:rPr>
      </w:pPr>
    </w:p>
    <w:p w14:paraId="1173D067" w14:textId="77777777" w:rsidR="00A077EB" w:rsidRDefault="00A077EB" w:rsidP="00A077EB">
      <w:pPr>
        <w:jc w:val="both"/>
        <w:rPr>
          <w:rFonts w:cs="Arial"/>
          <w:szCs w:val="22"/>
        </w:rPr>
      </w:pPr>
    </w:p>
    <w:p w14:paraId="044E1FC0" w14:textId="12E964C8" w:rsidR="00A077EB" w:rsidRDefault="00A077EB" w:rsidP="00A077EB">
      <w:pPr>
        <w:jc w:val="both"/>
        <w:rPr>
          <w:rFonts w:cs="Arial"/>
          <w:szCs w:val="22"/>
        </w:rPr>
      </w:pPr>
    </w:p>
    <w:p w14:paraId="1ECC1065" w14:textId="77777777" w:rsidR="00F7770A" w:rsidRDefault="00F7770A" w:rsidP="00A077EB">
      <w:pPr>
        <w:jc w:val="both"/>
        <w:rPr>
          <w:rFonts w:cs="Arial"/>
          <w:szCs w:val="22"/>
        </w:rPr>
      </w:pPr>
    </w:p>
    <w:p w14:paraId="4424AFA3" w14:textId="77777777" w:rsidR="00A077EB" w:rsidRDefault="00A077EB" w:rsidP="00A077EB">
      <w:pPr>
        <w:jc w:val="both"/>
        <w:rPr>
          <w:rFonts w:cs="Arial"/>
          <w:szCs w:val="22"/>
        </w:rPr>
      </w:pPr>
    </w:p>
    <w:p w14:paraId="4E72E478" w14:textId="77777777" w:rsidR="00A077EB" w:rsidRDefault="00A077EB" w:rsidP="00A077EB">
      <w:pPr>
        <w:jc w:val="both"/>
        <w:rPr>
          <w:rFonts w:cs="Arial"/>
          <w:szCs w:val="22"/>
        </w:rPr>
      </w:pPr>
    </w:p>
    <w:p w14:paraId="28B3AAC9" w14:textId="77777777" w:rsidR="00A077EB" w:rsidRDefault="00A077EB" w:rsidP="00A077EB">
      <w:pPr>
        <w:jc w:val="both"/>
        <w:rPr>
          <w:rFonts w:cs="Arial"/>
          <w:szCs w:val="22"/>
        </w:rPr>
      </w:pPr>
    </w:p>
    <w:p w14:paraId="0FAB96AC" w14:textId="77777777" w:rsidR="00A077EB" w:rsidRDefault="00A077EB" w:rsidP="00A077EB">
      <w:pPr>
        <w:jc w:val="both"/>
        <w:rPr>
          <w:rFonts w:cs="Arial"/>
          <w:szCs w:val="22"/>
        </w:rPr>
      </w:pPr>
    </w:p>
    <w:p w14:paraId="68DC6FF5" w14:textId="77777777" w:rsidR="00A077EB" w:rsidRDefault="00A077EB" w:rsidP="00A077EB">
      <w:pPr>
        <w:jc w:val="both"/>
        <w:rPr>
          <w:rFonts w:cs="Arial"/>
          <w:szCs w:val="22"/>
        </w:rPr>
      </w:pPr>
    </w:p>
    <w:p w14:paraId="6BC00914" w14:textId="77777777" w:rsidR="00A077EB" w:rsidRDefault="00A077EB" w:rsidP="00A077EB">
      <w:pPr>
        <w:jc w:val="both"/>
        <w:rPr>
          <w:rFonts w:cs="Arial"/>
          <w:szCs w:val="22"/>
        </w:rPr>
      </w:pPr>
    </w:p>
    <w:p w14:paraId="412946DE" w14:textId="77777777" w:rsidR="00A077EB" w:rsidRDefault="00A077EB" w:rsidP="00A077EB">
      <w:pPr>
        <w:jc w:val="both"/>
        <w:rPr>
          <w:rFonts w:cs="Arial"/>
          <w:szCs w:val="22"/>
        </w:rPr>
      </w:pPr>
    </w:p>
    <w:p w14:paraId="67907D33" w14:textId="621F5970" w:rsidR="00A077EB" w:rsidRPr="00EA4EF7" w:rsidRDefault="00A077EB" w:rsidP="00587A14">
      <w:pPr>
        <w:tabs>
          <w:tab w:val="left" w:pos="360"/>
        </w:tabs>
        <w:spacing w:after="60"/>
        <w:ind w:left="170" w:hanging="170"/>
        <w:rPr>
          <w:rFonts w:cs="Arial"/>
          <w:sz w:val="20"/>
        </w:rPr>
      </w:pPr>
      <w:r>
        <w:rPr>
          <w:rStyle w:val="FootnoteReference"/>
          <w:rFonts w:cs="Arial"/>
        </w:rPr>
        <w:t>D</w:t>
      </w:r>
      <w:r w:rsidRPr="009F6E1B">
        <w:rPr>
          <w:rStyle w:val="FootnoteReference"/>
          <w:rFonts w:cs="Arial"/>
        </w:rPr>
        <w:t>1</w:t>
      </w:r>
      <w:r w:rsidRPr="009F6E1B">
        <w:rPr>
          <w:rFonts w:cs="Arial"/>
        </w:rPr>
        <w:t xml:space="preserve"> </w:t>
      </w:r>
      <w:r w:rsidRPr="00EA4EF7">
        <w:rPr>
          <w:rFonts w:cs="Arial"/>
          <w:sz w:val="20"/>
        </w:rPr>
        <w:t>Future versions of the ATIEL Code of Practice will be uploaded to the ATIEL website</w:t>
      </w:r>
      <w:r w:rsidR="00587A14">
        <w:rPr>
          <w:rFonts w:cs="Arial"/>
          <w:sz w:val="20"/>
        </w:rPr>
        <w:t xml:space="preserve"> and on the SAIL </w:t>
      </w:r>
      <w:proofErr w:type="gramStart"/>
      <w:r w:rsidR="00587A14">
        <w:rPr>
          <w:rFonts w:cs="Arial"/>
          <w:sz w:val="20"/>
        </w:rPr>
        <w:t>Website.</w:t>
      </w:r>
      <w:r w:rsidRPr="00EA4EF7">
        <w:rPr>
          <w:rFonts w:cs="Arial"/>
          <w:sz w:val="20"/>
        </w:rPr>
        <w:t>.</w:t>
      </w:r>
      <w:proofErr w:type="gramEnd"/>
      <w:r w:rsidRPr="00EA4EF7">
        <w:rPr>
          <w:rFonts w:cs="Arial"/>
          <w:sz w:val="20"/>
        </w:rPr>
        <w:t xml:space="preserve"> In addition, </w:t>
      </w:r>
      <w:r w:rsidR="00587A14">
        <w:rPr>
          <w:rFonts w:cs="Arial"/>
          <w:sz w:val="20"/>
        </w:rPr>
        <w:t xml:space="preserve">SAIL will send a </w:t>
      </w:r>
      <w:r w:rsidRPr="00EA4EF7">
        <w:rPr>
          <w:sz w:val="20"/>
        </w:rPr>
        <w:t xml:space="preserve">notification to an email </w:t>
      </w:r>
      <w:r>
        <w:rPr>
          <w:sz w:val="20"/>
        </w:rPr>
        <w:t>address</w:t>
      </w:r>
      <w:r w:rsidRPr="00EA4EF7">
        <w:rPr>
          <w:sz w:val="20"/>
        </w:rPr>
        <w:t xml:space="preserve"> nominated</w:t>
      </w:r>
      <w:r w:rsidR="00587A14">
        <w:rPr>
          <w:sz w:val="20"/>
        </w:rPr>
        <w:t xml:space="preserve"> </w:t>
      </w:r>
      <w:r w:rsidRPr="00EA4EF7">
        <w:rPr>
          <w:sz w:val="20"/>
        </w:rPr>
        <w:t>by each</w:t>
      </w:r>
      <w:r w:rsidR="00587A14">
        <w:rPr>
          <w:sz w:val="20"/>
        </w:rPr>
        <w:br/>
      </w:r>
      <w:r w:rsidRPr="00EA4EF7">
        <w:rPr>
          <w:sz w:val="20"/>
        </w:rPr>
        <w:t>signatory of the ATIEL Letters of</w:t>
      </w:r>
      <w:r w:rsidR="00587A14">
        <w:rPr>
          <w:sz w:val="20"/>
        </w:rPr>
        <w:t xml:space="preserve"> </w:t>
      </w:r>
      <w:r w:rsidRPr="00EA4EF7">
        <w:rPr>
          <w:sz w:val="20"/>
        </w:rPr>
        <w:t xml:space="preserve">Conformance. This email address will also be used for </w:t>
      </w:r>
      <w:r>
        <w:rPr>
          <w:sz w:val="20"/>
        </w:rPr>
        <w:t xml:space="preserve">provision of </w:t>
      </w:r>
      <w:r w:rsidRPr="00EA4EF7">
        <w:rPr>
          <w:sz w:val="20"/>
        </w:rPr>
        <w:t>additional information</w:t>
      </w:r>
      <w:r>
        <w:rPr>
          <w:sz w:val="20"/>
        </w:rPr>
        <w:t xml:space="preserve"> relating</w:t>
      </w:r>
      <w:r w:rsidR="00587A14">
        <w:rPr>
          <w:sz w:val="20"/>
        </w:rPr>
        <w:t xml:space="preserve"> </w:t>
      </w:r>
      <w:r>
        <w:rPr>
          <w:sz w:val="20"/>
        </w:rPr>
        <w:t>to the Code</w:t>
      </w:r>
      <w:r w:rsidRPr="00EA4EF7">
        <w:rPr>
          <w:sz w:val="20"/>
        </w:rPr>
        <w:t>.</w:t>
      </w:r>
    </w:p>
    <w:p w14:paraId="473B6069" w14:textId="50D7771B" w:rsidR="00E12BFF" w:rsidRPr="009006DE" w:rsidRDefault="00E12BFF" w:rsidP="00A077EB">
      <w:pPr>
        <w:rPr>
          <w:rFonts w:cs="Arial"/>
        </w:rPr>
      </w:pPr>
    </w:p>
    <w:sectPr w:rsidR="00E12BFF" w:rsidRPr="009006DE" w:rsidSect="00A077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188A" w14:textId="77777777" w:rsidR="00B70902" w:rsidRDefault="00B70902" w:rsidP="00A077EB">
      <w:r>
        <w:separator/>
      </w:r>
    </w:p>
  </w:endnote>
  <w:endnote w:type="continuationSeparator" w:id="0">
    <w:p w14:paraId="5528A76A" w14:textId="77777777" w:rsidR="00B70902" w:rsidRDefault="00B70902" w:rsidP="00A0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E2CD" w14:textId="3835A35F" w:rsidR="00A077EB" w:rsidRDefault="00A077EB">
    <w:pPr>
      <w:pStyle w:val="Footer"/>
      <w:jc w:val="right"/>
    </w:pPr>
    <w:r>
      <w:rPr>
        <w:rFonts w:cs="Arial"/>
      </w:rPr>
      <w:t xml:space="preserve">                                                           </w:t>
    </w:r>
    <w:r w:rsidRPr="00FC2665">
      <w:rPr>
        <w:rFonts w:cs="Arial"/>
      </w:rPr>
      <w:t>ATIEL Code of Practice</w:t>
    </w:r>
    <w:r w:rsidRPr="00FC2665">
      <w:rPr>
        <w:rFonts w:cs="Arial"/>
      </w:rPr>
      <w:tab/>
    </w:r>
    <w:r>
      <w:rPr>
        <w:rFonts w:cs="Arial"/>
      </w:rPr>
      <w:t xml:space="preserve">                                           </w:t>
    </w:r>
    <w:r w:rsidRPr="00FC2665">
      <w:rPr>
        <w:rFonts w:cs="Arial"/>
      </w:rPr>
      <w:t>D-</w:t>
    </w:r>
    <w:sdt>
      <w:sdtPr>
        <w:id w:val="-1071114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01217BD" w14:textId="0F458EAC" w:rsidR="00A077EB" w:rsidRPr="00FC2665" w:rsidRDefault="00A077EB" w:rsidP="00A077EB">
    <w:pPr>
      <w:pStyle w:val="Footer"/>
      <w:ind w:right="360"/>
      <w:jc w:val="center"/>
      <w:rPr>
        <w:rFonts w:cs="Arial"/>
      </w:rPr>
    </w:pPr>
    <w:r w:rsidRPr="00FC2665">
      <w:rPr>
        <w:rFonts w:cs="Arial"/>
        <w:noProof/>
      </w:rPr>
      <w:t xml:space="preserve">© ATIEL </w:t>
    </w:r>
    <w:r w:rsidR="00587A14">
      <w:rPr>
        <w:rFonts w:cs="Arial"/>
        <w:noProof/>
      </w:rPr>
      <w:t>2021</w:t>
    </w:r>
  </w:p>
  <w:p w14:paraId="7042FD6A" w14:textId="77777777" w:rsidR="00A077EB" w:rsidRDefault="00A0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FE4C" w14:textId="77777777" w:rsidR="00B70902" w:rsidRDefault="00B70902" w:rsidP="00A077EB">
      <w:r>
        <w:separator/>
      </w:r>
    </w:p>
  </w:footnote>
  <w:footnote w:type="continuationSeparator" w:id="0">
    <w:p w14:paraId="16C7A270" w14:textId="77777777" w:rsidR="00B70902" w:rsidRDefault="00B70902" w:rsidP="00A0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41CF" w14:textId="4FC9E6F3" w:rsidR="00A077EB" w:rsidRDefault="00A077EB" w:rsidP="00A077EB">
    <w:pPr>
      <w:pStyle w:val="Header"/>
      <w:jc w:val="right"/>
    </w:pPr>
    <w:r>
      <w:t>Issue 2</w:t>
    </w:r>
    <w:r w:rsidR="00587A14">
      <w:t>2</w:t>
    </w:r>
    <w:r>
      <w:t xml:space="preserve">, </w:t>
    </w:r>
    <w:r w:rsidR="00587A14">
      <w:t>October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92CAABA"/>
    <w:lvl w:ilvl="0">
      <w:start w:val="1"/>
      <w:numFmt w:val="decimal"/>
      <w:pStyle w:val="Heading1"/>
      <w:lvlText w:val="%1"/>
      <w:lvlJc w:val="left"/>
      <w:pPr>
        <w:tabs>
          <w:tab w:val="num" w:pos="1702"/>
        </w:tabs>
      </w:pPr>
      <w:rPr>
        <w:rFonts w:hint="default"/>
        <w:color w:val="00000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7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942"/>
        </w:tabs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</w:abstractNum>
  <w:abstractNum w:abstractNumId="1" w15:restartNumberingAfterBreak="0">
    <w:nsid w:val="09455171"/>
    <w:multiLevelType w:val="hybridMultilevel"/>
    <w:tmpl w:val="44340E08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1E9235F"/>
    <w:multiLevelType w:val="hybridMultilevel"/>
    <w:tmpl w:val="744ABF90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B6000B9"/>
    <w:multiLevelType w:val="hybridMultilevel"/>
    <w:tmpl w:val="BD02A8F2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1632156"/>
    <w:multiLevelType w:val="hybridMultilevel"/>
    <w:tmpl w:val="3920069C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16701924">
    <w:abstractNumId w:val="0"/>
  </w:num>
  <w:num w:numId="2" w16cid:durableId="1906449294">
    <w:abstractNumId w:val="4"/>
  </w:num>
  <w:num w:numId="3" w16cid:durableId="1701466011">
    <w:abstractNumId w:val="1"/>
  </w:num>
  <w:num w:numId="4" w16cid:durableId="1473861606">
    <w:abstractNumId w:val="3"/>
  </w:num>
  <w:num w:numId="5" w16cid:durableId="1644118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EB"/>
    <w:rsid w:val="001924E1"/>
    <w:rsid w:val="001F5C1B"/>
    <w:rsid w:val="0033307C"/>
    <w:rsid w:val="00486C9D"/>
    <w:rsid w:val="004E38A3"/>
    <w:rsid w:val="00587A14"/>
    <w:rsid w:val="009006DE"/>
    <w:rsid w:val="00A077EB"/>
    <w:rsid w:val="00A52AD8"/>
    <w:rsid w:val="00B70902"/>
    <w:rsid w:val="00C07207"/>
    <w:rsid w:val="00E12BFF"/>
    <w:rsid w:val="00E93EEB"/>
    <w:rsid w:val="00EC74D7"/>
    <w:rsid w:val="00F06A20"/>
    <w:rsid w:val="00F7770A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B2F2EF"/>
  <w15:chartTrackingRefBased/>
  <w15:docId w15:val="{3D979A69-BD7D-4E35-888C-68F428B4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HAnsi" w:hAnsi="CG 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EB"/>
    <w:rPr>
      <w:rFonts w:ascii="Arial" w:eastAsia="Times New Roman" w:hAnsi="Arial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7EB"/>
    <w:pPr>
      <w:keepNext/>
      <w:keepLines/>
      <w:numPr>
        <w:numId w:val="1"/>
      </w:numPr>
      <w:spacing w:before="240" w:after="240"/>
      <w:outlineLvl w:val="0"/>
    </w:pPr>
    <w:rPr>
      <w:b/>
      <w:sz w:val="32"/>
      <w:lang w:eastAsia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077EB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077EB"/>
    <w:pPr>
      <w:numPr>
        <w:ilvl w:val="2"/>
      </w:numPr>
      <w:tabs>
        <w:tab w:val="clear" w:pos="7942"/>
        <w:tab w:val="num" w:pos="1278"/>
      </w:tabs>
      <w:outlineLvl w:val="2"/>
    </w:pPr>
  </w:style>
  <w:style w:type="paragraph" w:styleId="Heading4">
    <w:name w:val="heading 4"/>
    <w:basedOn w:val="Normal"/>
    <w:next w:val="NormalIndent"/>
    <w:link w:val="Heading4Char"/>
    <w:uiPriority w:val="99"/>
    <w:qFormat/>
    <w:rsid w:val="00A077EB"/>
    <w:pPr>
      <w:numPr>
        <w:ilvl w:val="3"/>
        <w:numId w:val="1"/>
      </w:numPr>
      <w:outlineLvl w:val="3"/>
    </w:pPr>
    <w:rPr>
      <w:lang w:eastAsia="en-GB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A077EB"/>
    <w:pPr>
      <w:numPr>
        <w:ilvl w:val="4"/>
        <w:numId w:val="1"/>
      </w:numPr>
      <w:outlineLvl w:val="4"/>
    </w:pPr>
    <w:rPr>
      <w:b/>
      <w:lang w:eastAsia="en-GB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A077EB"/>
    <w:pPr>
      <w:numPr>
        <w:ilvl w:val="5"/>
        <w:numId w:val="1"/>
      </w:numPr>
      <w:outlineLvl w:val="5"/>
    </w:pPr>
    <w:rPr>
      <w:u w:val="single"/>
      <w:lang w:eastAsia="en-GB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A077EB"/>
    <w:pPr>
      <w:numPr>
        <w:ilvl w:val="6"/>
        <w:numId w:val="1"/>
      </w:numPr>
      <w:outlineLvl w:val="6"/>
    </w:pPr>
    <w:rPr>
      <w:i/>
      <w:lang w:eastAsia="en-GB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A077EB"/>
    <w:pPr>
      <w:numPr>
        <w:ilvl w:val="7"/>
        <w:numId w:val="1"/>
      </w:numPr>
      <w:outlineLvl w:val="7"/>
    </w:pPr>
    <w:rPr>
      <w:i/>
      <w:lang w:eastAsia="en-GB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A077EB"/>
    <w:pPr>
      <w:numPr>
        <w:ilvl w:val="8"/>
        <w:numId w:val="1"/>
      </w:numPr>
      <w:outlineLvl w:val="8"/>
    </w:pPr>
    <w:rPr>
      <w:i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3EEB"/>
    <w:rPr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EB"/>
    <w:rPr>
      <w:rFonts w:ascii="Arial" w:hAnsi="Arial"/>
      <w:sz w:val="1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A077EB"/>
    <w:rPr>
      <w:rFonts w:ascii="Arial" w:eastAsia="Times New Roman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077EB"/>
    <w:rPr>
      <w:rFonts w:ascii="Arial" w:eastAsia="Times New Roman" w:hAnsi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A077EB"/>
    <w:rPr>
      <w:rFonts w:ascii="Arial" w:eastAsia="Times New Roman" w:hAnsi="Arial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A077EB"/>
    <w:rPr>
      <w:rFonts w:ascii="Arial" w:eastAsia="Times New Roman" w:hAnsi="Arial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A077EB"/>
    <w:rPr>
      <w:rFonts w:ascii="Arial" w:eastAsia="Times New Roman" w:hAnsi="Arial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A077EB"/>
    <w:rPr>
      <w:rFonts w:ascii="Arial" w:eastAsia="Times New Roman" w:hAnsi="Arial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A077EB"/>
    <w:rPr>
      <w:rFonts w:ascii="Arial" w:eastAsia="Times New Roman" w:hAnsi="Arial"/>
      <w:i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A077EB"/>
    <w:rPr>
      <w:rFonts w:ascii="Arial" w:eastAsia="Times New Roman" w:hAnsi="Arial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077EB"/>
    <w:rPr>
      <w:rFonts w:ascii="Arial" w:eastAsia="Times New Roman" w:hAnsi="Arial"/>
      <w:i/>
      <w:szCs w:val="20"/>
    </w:rPr>
  </w:style>
  <w:style w:type="character" w:styleId="Hyperlink">
    <w:name w:val="Hyperlink"/>
    <w:basedOn w:val="DefaultParagraphFont"/>
    <w:uiPriority w:val="99"/>
    <w:rsid w:val="00A077EB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A077EB"/>
    <w:rPr>
      <w:rFonts w:cs="Times New Roman"/>
      <w:vertAlign w:val="superscript"/>
    </w:rPr>
  </w:style>
  <w:style w:type="paragraph" w:styleId="NormalIndent">
    <w:name w:val="Normal Indent"/>
    <w:basedOn w:val="Normal"/>
    <w:uiPriority w:val="99"/>
    <w:semiHidden/>
    <w:unhideWhenUsed/>
    <w:rsid w:val="00A077E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07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7EB"/>
    <w:rPr>
      <w:rFonts w:ascii="Arial" w:eastAsia="Times New Roman" w:hAnsi="Arial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07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7EB"/>
    <w:rPr>
      <w:rFonts w:ascii="Arial" w:eastAsia="Times New Roman" w:hAnsi="Arial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9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6FAABA3C07B47972E248C8D7BB488" ma:contentTypeVersion="10" ma:contentTypeDescription="Create a new document." ma:contentTypeScope="" ma:versionID="1b584f58dce924004a8d3f8ca0f6d49b">
  <xsd:schema xmlns:xsd="http://www.w3.org/2001/XMLSchema" xmlns:xs="http://www.w3.org/2001/XMLSchema" xmlns:p="http://schemas.microsoft.com/office/2006/metadata/properties" xmlns:ns2="daafc154-13f4-4fac-a1d2-6ec29d29b022" targetNamespace="http://schemas.microsoft.com/office/2006/metadata/properties" ma:root="true" ma:fieldsID="68e59fe7f61d2d0cd8d335bbaa6a57b3" ns2:_="">
    <xsd:import namespace="daafc154-13f4-4fac-a1d2-6ec29d29b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c154-13f4-4fac-a1d2-6ec29d29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2FAC1-9F8F-4EC0-95F9-1D0F4835737B}"/>
</file>

<file path=customXml/itemProps2.xml><?xml version="1.0" encoding="utf-8"?>
<ds:datastoreItem xmlns:ds="http://schemas.openxmlformats.org/officeDocument/2006/customXml" ds:itemID="{04BA4A04-549E-4612-81D0-57F1B021F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Hancock</dc:creator>
  <cp:keywords/>
  <dc:description/>
  <cp:lastModifiedBy>cslil</cp:lastModifiedBy>
  <cp:revision>2</cp:revision>
  <dcterms:created xsi:type="dcterms:W3CDTF">2022-09-02T08:37:00Z</dcterms:created>
  <dcterms:modified xsi:type="dcterms:W3CDTF">2022-09-02T08:37:00Z</dcterms:modified>
</cp:coreProperties>
</file>